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AG_REGIERUNGSRAT RRB 2010-001597 vom 10. November 2010</w:t>
      </w:r>
    </w:p>
    <w:p>
      <w:r>
        <w:t>Ag Regierungsrat, 2010-11-10, DE</w:t>
      </w:r>
    </w:p>
    <w:p>
      <w:r>
        <w:rPr>
          <w:b/>
        </w:rPr>
        <w:t xml:space="preserve">Quelle: </w:t>
      </w:r>
      <w:r>
        <w:t>https://mcp.opencaselaw.ch/entscheid/ag_regierungsrat_RRB 2010-001597</w:t>
      </w:r>
    </w:p>
    <w:p>
      <w:r>
        <w:t>FR: AG_REGIERUNGSRAT RRB 2010-001597 du 10 novembre 2010</w:t>
      </w:r>
    </w:p>
    <w:p>
      <w:r>
        <w:t>IT: AG_REGIERUNGSRAT RRB 2010-001597 del 10 novembre 2010</w:t>
      </w:r>
    </w:p>
    <w:p>
      <w:pPr>
        <w:pStyle w:val="Heading2"/>
      </w:pPr>
      <w:r>
        <w:t>Regeste</w:t>
      </w:r>
    </w:p>
    <w:p>
      <w:r>
        <w:t>Parteikosten Bei der Bemessung der Parteientschädigung darf die Mehrwertsteuer nicht miteinbezogen werden, wenn die obsiegende Partei selber der Mehrwertsteuerpflicht unterliegt (Änderung der Praxis).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Zu den Aufgaben und Befugnissen der Gemeindeversammlung gehören gemäss § 20 Abs. 2 lit. a und c GG die Festlegung des Vor- anschlags und des Steuerfusses sowie die Beschlussfassung über Ver-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